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1DF01" w14:textId="77777777" w:rsidR="00D40900" w:rsidRPr="004A29ED" w:rsidRDefault="00D40900" w:rsidP="00D40900">
      <w:pPr>
        <w:jc w:val="center"/>
        <w:rPr>
          <w:b/>
          <w:iCs/>
        </w:rPr>
      </w:pPr>
      <w:bookmarkStart w:id="0" w:name="_GoBack"/>
      <w:bookmarkEnd w:id="0"/>
      <w:r w:rsidRPr="004A29ED">
        <w:rPr>
          <w:b/>
          <w:iCs/>
        </w:rPr>
        <w:t>TEXTO DEFINITIVO APROBADO EN LA SESIÓN DE LA COMISIÓN TERCERA PERMANENTE DE HACIENDA Y CRÉDITO PÚBLICO</w:t>
      </w:r>
    </w:p>
    <w:p w14:paraId="2475109E" w14:textId="121AF00A" w:rsidR="00D40900" w:rsidRPr="004A29ED" w:rsidRDefault="00D40900" w:rsidP="00D40900">
      <w:pPr>
        <w:jc w:val="center"/>
        <w:rPr>
          <w:b/>
          <w:iCs/>
        </w:rPr>
      </w:pPr>
      <w:r w:rsidRPr="004A29ED">
        <w:rPr>
          <w:b/>
          <w:iCs/>
        </w:rPr>
        <w:t xml:space="preserve">REALIZADA EL DÍA </w:t>
      </w:r>
      <w:r w:rsidR="00FC3629">
        <w:rPr>
          <w:b/>
          <w:iCs/>
        </w:rPr>
        <w:t>MART</w:t>
      </w:r>
      <w:r w:rsidRPr="004A29ED">
        <w:rPr>
          <w:b/>
          <w:iCs/>
        </w:rPr>
        <w:t xml:space="preserve">ES </w:t>
      </w:r>
      <w:r w:rsidR="00FC3629">
        <w:rPr>
          <w:b/>
          <w:iCs/>
        </w:rPr>
        <w:t>3</w:t>
      </w:r>
      <w:r w:rsidRPr="004A29ED">
        <w:rPr>
          <w:b/>
          <w:iCs/>
        </w:rPr>
        <w:t xml:space="preserve"> DE </w:t>
      </w:r>
      <w:r w:rsidR="008723BD" w:rsidRPr="004A29ED">
        <w:rPr>
          <w:b/>
          <w:iCs/>
        </w:rPr>
        <w:t>JUNI</w:t>
      </w:r>
      <w:r w:rsidRPr="004A29ED">
        <w:rPr>
          <w:b/>
          <w:iCs/>
        </w:rPr>
        <w:t>O DE 2025</w:t>
      </w:r>
    </w:p>
    <w:p w14:paraId="1CE639B7" w14:textId="1764981A" w:rsidR="004D0443" w:rsidRPr="004A29ED" w:rsidRDefault="00D40900" w:rsidP="008723BD">
      <w:pPr>
        <w:tabs>
          <w:tab w:val="left" w:pos="3119"/>
        </w:tabs>
        <w:jc w:val="both"/>
        <w:rPr>
          <w:b/>
          <w:iCs/>
        </w:rPr>
      </w:pPr>
      <w:r w:rsidRPr="004A29ED">
        <w:rPr>
          <w:b/>
          <w:lang w:val="es-CO"/>
        </w:rPr>
        <w:t xml:space="preserve"> </w:t>
      </w:r>
    </w:p>
    <w:p w14:paraId="4BDE5206" w14:textId="77777777" w:rsidR="004A29ED" w:rsidRPr="004A29ED" w:rsidRDefault="004A29ED" w:rsidP="004A29ED">
      <w:pPr>
        <w:jc w:val="center"/>
        <w:rPr>
          <w:b/>
          <w:bCs/>
        </w:rPr>
      </w:pPr>
      <w:bookmarkStart w:id="1" w:name="_heading=h.kjhb6djejv4e" w:colFirst="0" w:colLast="0"/>
      <w:bookmarkEnd w:id="1"/>
      <w:r w:rsidRPr="004A29ED">
        <w:rPr>
          <w:b/>
          <w:bCs/>
        </w:rPr>
        <w:t>PROYECTO DE ACUERDO No. 368 DE 2025</w:t>
      </w:r>
    </w:p>
    <w:p w14:paraId="2AFD8FA4" w14:textId="77777777" w:rsidR="004A29ED" w:rsidRPr="004A29ED" w:rsidRDefault="004A29ED" w:rsidP="004A29ED">
      <w:pPr>
        <w:jc w:val="center"/>
        <w:rPr>
          <w:b/>
          <w:bCs/>
          <w:color w:val="FF0000"/>
        </w:rPr>
      </w:pPr>
    </w:p>
    <w:p w14:paraId="5C7C49CA" w14:textId="39C38CA4" w:rsidR="004A29ED" w:rsidRPr="004A29ED" w:rsidRDefault="004A29ED" w:rsidP="004A29ED">
      <w:pPr>
        <w:jc w:val="center"/>
        <w:rPr>
          <w:b/>
          <w:bCs/>
        </w:rPr>
      </w:pPr>
      <w:r w:rsidRPr="004A29ED">
        <w:rPr>
          <w:b/>
          <w:bCs/>
        </w:rPr>
        <w:t>"Por el cual se establece</w:t>
      </w:r>
      <w:r w:rsidR="006E62DC">
        <w:rPr>
          <w:b/>
          <w:bCs/>
        </w:rPr>
        <w:t>n</w:t>
      </w:r>
      <w:r w:rsidRPr="004A29ED">
        <w:rPr>
          <w:b/>
          <w:bCs/>
        </w:rPr>
        <w:t xml:space="preserve"> </w:t>
      </w:r>
      <w:r w:rsidR="009851AA">
        <w:rPr>
          <w:b/>
          <w:bCs/>
        </w:rPr>
        <w:t xml:space="preserve">los </w:t>
      </w:r>
      <w:r w:rsidRPr="004A29ED">
        <w:rPr>
          <w:b/>
          <w:bCs/>
        </w:rPr>
        <w:t>lineamientos orientadores para la promoción y ordenamiento de la actividad de mercado de pulgas en Bogotá D.C”</w:t>
      </w:r>
    </w:p>
    <w:p w14:paraId="2727A19A" w14:textId="77777777" w:rsidR="004A29ED" w:rsidRPr="004A29ED" w:rsidRDefault="004A29ED" w:rsidP="004A29ED">
      <w:pPr>
        <w:jc w:val="center"/>
        <w:rPr>
          <w:b/>
          <w:bCs/>
        </w:rPr>
      </w:pPr>
    </w:p>
    <w:p w14:paraId="366F54E8" w14:textId="77777777" w:rsidR="004A29ED" w:rsidRPr="004A29ED" w:rsidRDefault="004A29ED" w:rsidP="004A29ED">
      <w:pPr>
        <w:jc w:val="center"/>
        <w:rPr>
          <w:b/>
          <w:bCs/>
        </w:rPr>
      </w:pPr>
      <w:r w:rsidRPr="004A29ED">
        <w:rPr>
          <w:b/>
          <w:bCs/>
        </w:rPr>
        <w:t>EL CONCEJO DE BOGOTÁ D.C.,</w:t>
      </w:r>
    </w:p>
    <w:p w14:paraId="68191874" w14:textId="77777777" w:rsidR="004A29ED" w:rsidRPr="004A29ED" w:rsidRDefault="004A29ED" w:rsidP="004A29ED">
      <w:pPr>
        <w:jc w:val="center"/>
        <w:rPr>
          <w:b/>
          <w:bCs/>
        </w:rPr>
      </w:pPr>
    </w:p>
    <w:p w14:paraId="25CC019E" w14:textId="77777777" w:rsidR="004A29ED" w:rsidRPr="004A29ED" w:rsidRDefault="004A29ED" w:rsidP="004A29ED">
      <w:pPr>
        <w:jc w:val="center"/>
      </w:pPr>
      <w:r w:rsidRPr="004A29ED">
        <w:t>En ejercicio de sus atribuciones constitucionales y legales y, en especial, de las que les confiere el numeral 1 y 25 del artículo 12 del Decreto Ley 1421 de 1993,</w:t>
      </w:r>
    </w:p>
    <w:p w14:paraId="1E66DE52" w14:textId="77777777" w:rsidR="004A29ED" w:rsidRPr="004A29ED" w:rsidRDefault="004A29ED" w:rsidP="004A29ED">
      <w:pPr>
        <w:jc w:val="center"/>
      </w:pPr>
    </w:p>
    <w:p w14:paraId="1DE71C69" w14:textId="77777777" w:rsidR="004A29ED" w:rsidRPr="004A29ED" w:rsidRDefault="004A29ED" w:rsidP="004A29ED">
      <w:pPr>
        <w:jc w:val="center"/>
        <w:rPr>
          <w:b/>
          <w:bCs/>
        </w:rPr>
      </w:pPr>
      <w:r w:rsidRPr="004A29ED">
        <w:rPr>
          <w:b/>
          <w:bCs/>
        </w:rPr>
        <w:t>ACUERDA</w:t>
      </w:r>
    </w:p>
    <w:p w14:paraId="463998EC" w14:textId="77777777" w:rsidR="004A29ED" w:rsidRPr="004A29ED" w:rsidRDefault="004A29ED" w:rsidP="004A29ED">
      <w:pPr>
        <w:jc w:val="center"/>
      </w:pPr>
    </w:p>
    <w:p w14:paraId="2AAC7917" w14:textId="6A2C4C07" w:rsidR="004A29ED" w:rsidRPr="004A29ED" w:rsidRDefault="004A29ED" w:rsidP="004A29ED">
      <w:pPr>
        <w:jc w:val="both"/>
        <w:rPr>
          <w:lang w:val="es-CO"/>
        </w:rPr>
      </w:pPr>
      <w:r w:rsidRPr="004A29ED">
        <w:rPr>
          <w:b/>
          <w:bCs/>
        </w:rPr>
        <w:t xml:space="preserve">ARTÍCULO 1. Objeto. </w:t>
      </w:r>
      <w:r w:rsidRPr="004A29ED">
        <w:t xml:space="preserve">Establecer lineamientos orientadores para la promoción y ordenamiento de la actividad de mercado de pulgas en Bogotá D.C., en el marco del uso y aprovechamiento </w:t>
      </w:r>
      <w:r w:rsidR="000414C1">
        <w:t>económico del espacio público y</w:t>
      </w:r>
      <w:r w:rsidR="009851AA">
        <w:t xml:space="preserve"> </w:t>
      </w:r>
      <w:r w:rsidRPr="004A29ED">
        <w:t>la explotación económica de la infraestructura pública, respetando la normatividad vigente, las actividades descritas en el artículo 8 del Decreto 315 de 2024 y las competencias de las autoridades distritales.</w:t>
      </w:r>
    </w:p>
    <w:p w14:paraId="35AE3BA7" w14:textId="77777777" w:rsidR="004A29ED" w:rsidRPr="004A29ED" w:rsidRDefault="004A29ED" w:rsidP="004A29ED">
      <w:pPr>
        <w:jc w:val="both"/>
      </w:pPr>
    </w:p>
    <w:p w14:paraId="78333667" w14:textId="77777777" w:rsidR="004A29ED" w:rsidRPr="004A29ED" w:rsidRDefault="004A29ED" w:rsidP="004A29ED">
      <w:pPr>
        <w:jc w:val="both"/>
      </w:pPr>
    </w:p>
    <w:p w14:paraId="5FBB0B39" w14:textId="1A5CCC53" w:rsidR="004A29ED" w:rsidRPr="004A29ED" w:rsidRDefault="004A29ED" w:rsidP="004A29ED">
      <w:pPr>
        <w:jc w:val="both"/>
      </w:pPr>
      <w:r w:rsidRPr="004A29ED">
        <w:rPr>
          <w:b/>
          <w:bCs/>
        </w:rPr>
        <w:t xml:space="preserve">ARTÍCULO 2. Definición. </w:t>
      </w:r>
      <w:r w:rsidRPr="004A29ED">
        <w:t>Para los efectos del presente Acuerdo, se entenderá por mercado de pulgas la comercialización de bienes de segunda mano o de valor patrimonial, promovidos por habitantes y residentes de barrios o localidades, organizados o asociados</w:t>
      </w:r>
      <w:r w:rsidR="000414C1">
        <w:t>,</w:t>
      </w:r>
      <w:r w:rsidRPr="004A29ED">
        <w:t xml:space="preserve"> como una manifestación de economía popular, desarrollada en porciones claramente delimitadas del espacio público y en periodos cortos de forma temporal, itinerante y organizada.</w:t>
      </w:r>
    </w:p>
    <w:p w14:paraId="25AA62A6" w14:textId="77777777" w:rsidR="004A29ED" w:rsidRPr="004A29ED" w:rsidRDefault="004A29ED" w:rsidP="004A29ED">
      <w:pPr>
        <w:jc w:val="both"/>
      </w:pPr>
    </w:p>
    <w:p w14:paraId="14974516" w14:textId="77777777" w:rsidR="004A29ED" w:rsidRPr="004A29ED" w:rsidRDefault="004A29ED" w:rsidP="004A29ED">
      <w:pPr>
        <w:tabs>
          <w:tab w:val="left" w:pos="1710"/>
        </w:tabs>
        <w:spacing w:line="276" w:lineRule="auto"/>
        <w:jc w:val="both"/>
        <w:rPr>
          <w:b/>
          <w:u w:val="single"/>
        </w:rPr>
      </w:pPr>
    </w:p>
    <w:p w14:paraId="0A421B1D" w14:textId="77777777" w:rsidR="004A29ED" w:rsidRPr="004A29ED" w:rsidRDefault="004A29ED" w:rsidP="004A29ED">
      <w:pPr>
        <w:tabs>
          <w:tab w:val="left" w:pos="1710"/>
        </w:tabs>
        <w:spacing w:line="276" w:lineRule="auto"/>
        <w:jc w:val="both"/>
      </w:pPr>
      <w:r w:rsidRPr="004A29ED">
        <w:rPr>
          <w:b/>
          <w:bCs/>
        </w:rPr>
        <w:t xml:space="preserve">ARTÍCULO 3. Lineamientos. </w:t>
      </w:r>
      <w:r w:rsidRPr="004A29ED">
        <w:t>La Administración Distrital, en el marco de sus competencias, podrá:</w:t>
      </w:r>
    </w:p>
    <w:p w14:paraId="2516CAE7" w14:textId="77777777" w:rsidR="004A29ED" w:rsidRPr="004A29ED" w:rsidRDefault="004A29ED" w:rsidP="004A29ED">
      <w:pPr>
        <w:tabs>
          <w:tab w:val="left" w:pos="1710"/>
        </w:tabs>
        <w:spacing w:line="276" w:lineRule="auto"/>
        <w:jc w:val="both"/>
      </w:pPr>
    </w:p>
    <w:p w14:paraId="7672CF90" w14:textId="77777777" w:rsidR="004A29ED" w:rsidRPr="004A29ED" w:rsidRDefault="004A29ED" w:rsidP="004A29ED">
      <w:pPr>
        <w:pStyle w:val="Prrafodelista"/>
        <w:widowControl/>
        <w:numPr>
          <w:ilvl w:val="0"/>
          <w:numId w:val="6"/>
        </w:numPr>
        <w:tabs>
          <w:tab w:val="left" w:pos="1710"/>
        </w:tabs>
        <w:autoSpaceDE/>
        <w:autoSpaceDN/>
        <w:spacing w:line="276" w:lineRule="auto"/>
        <w:rPr>
          <w:rFonts w:ascii="Arial" w:hAnsi="Arial" w:cs="Arial"/>
          <w:sz w:val="24"/>
          <w:szCs w:val="24"/>
        </w:rPr>
      </w:pPr>
      <w:r w:rsidRPr="004A29ED">
        <w:rPr>
          <w:rFonts w:ascii="Arial" w:hAnsi="Arial" w:cs="Arial"/>
          <w:sz w:val="24"/>
          <w:szCs w:val="24"/>
        </w:rPr>
        <w:t xml:space="preserve">Desarrollar un estudio de viabilidad técnica, social y territorial que permita identificar las actividades descritas en el Artículo 8 del Decreto 315 de 2024, dentro de las cuáles se puede enmarcar la realización de los Mercados de Pulgas, </w:t>
      </w:r>
      <w:r w:rsidRPr="004A29ED">
        <w:rPr>
          <w:rFonts w:ascii="Arial" w:hAnsi="Arial" w:cs="Arial"/>
          <w:sz w:val="24"/>
          <w:szCs w:val="24"/>
        </w:rPr>
        <w:lastRenderedPageBreak/>
        <w:t>así como los lugares aptos para el desarrollo de estos en las diferentes localidades de la ciudad, teniendo en cuenta criterios de inclusión, convivencia y armonización con el entorno urbano.</w:t>
      </w:r>
    </w:p>
    <w:p w14:paraId="2D91CABD" w14:textId="77777777" w:rsidR="004A29ED" w:rsidRPr="004A29ED" w:rsidRDefault="004A29ED" w:rsidP="004A29ED">
      <w:pPr>
        <w:pStyle w:val="Prrafodelista"/>
        <w:tabs>
          <w:tab w:val="left" w:pos="1710"/>
        </w:tabs>
        <w:spacing w:line="276" w:lineRule="auto"/>
        <w:ind w:left="720"/>
        <w:rPr>
          <w:rFonts w:ascii="Arial" w:hAnsi="Arial" w:cs="Arial"/>
          <w:sz w:val="24"/>
          <w:szCs w:val="24"/>
        </w:rPr>
      </w:pPr>
    </w:p>
    <w:p w14:paraId="4D1B7F37" w14:textId="6839BFA2" w:rsidR="004A29ED" w:rsidRPr="004A29ED" w:rsidRDefault="004A29ED" w:rsidP="004A29ED">
      <w:pPr>
        <w:pStyle w:val="Prrafodelista"/>
        <w:widowControl/>
        <w:numPr>
          <w:ilvl w:val="0"/>
          <w:numId w:val="6"/>
        </w:numPr>
        <w:tabs>
          <w:tab w:val="left" w:pos="1710"/>
        </w:tabs>
        <w:autoSpaceDE/>
        <w:autoSpaceDN/>
        <w:spacing w:line="276" w:lineRule="auto"/>
        <w:rPr>
          <w:rFonts w:ascii="Arial" w:hAnsi="Arial" w:cs="Arial"/>
          <w:sz w:val="24"/>
          <w:szCs w:val="24"/>
        </w:rPr>
      </w:pPr>
      <w:r w:rsidRPr="004A29ED">
        <w:rPr>
          <w:rFonts w:ascii="Arial" w:hAnsi="Arial" w:cs="Arial"/>
          <w:sz w:val="24"/>
          <w:szCs w:val="24"/>
        </w:rPr>
        <w:t>Coordinar y promover espacios de concertación y participación con las comunidades</w:t>
      </w:r>
      <w:r w:rsidR="00FD4352">
        <w:rPr>
          <w:rFonts w:ascii="Arial" w:hAnsi="Arial" w:cs="Arial"/>
          <w:sz w:val="24"/>
          <w:szCs w:val="24"/>
        </w:rPr>
        <w:t>,</w:t>
      </w:r>
      <w:r w:rsidRPr="004A29ED">
        <w:rPr>
          <w:rFonts w:ascii="Arial" w:hAnsi="Arial" w:cs="Arial"/>
          <w:sz w:val="24"/>
          <w:szCs w:val="24"/>
        </w:rPr>
        <w:t xml:space="preserve"> comerciantes, artistas, y los sectores tradicionalmente vinculados a esta actividad, como </w:t>
      </w:r>
      <w:proofErr w:type="spellStart"/>
      <w:r w:rsidRPr="004A29ED">
        <w:rPr>
          <w:rFonts w:ascii="Arial" w:hAnsi="Arial" w:cs="Arial"/>
          <w:sz w:val="24"/>
          <w:szCs w:val="24"/>
        </w:rPr>
        <w:t>coroteros</w:t>
      </w:r>
      <w:proofErr w:type="spellEnd"/>
      <w:r w:rsidRPr="004A29ED">
        <w:rPr>
          <w:rFonts w:ascii="Arial" w:hAnsi="Arial" w:cs="Arial"/>
          <w:sz w:val="24"/>
          <w:szCs w:val="24"/>
        </w:rPr>
        <w:t xml:space="preserve">, cachivacheros, anticuarios, ropavejeros, libreros, y artesanos; para definir criterios de implementación, periodicidad y ordenamiento, y para dinamizar y asegurar el aprovechamiento económico de espacio público manera segura para todos los actores. </w:t>
      </w:r>
    </w:p>
    <w:p w14:paraId="32EC308E" w14:textId="77777777" w:rsidR="004A29ED" w:rsidRPr="004A29ED" w:rsidRDefault="004A29ED" w:rsidP="004A29ED">
      <w:pPr>
        <w:pStyle w:val="Prrafodelista"/>
        <w:tabs>
          <w:tab w:val="left" w:pos="1710"/>
        </w:tabs>
        <w:spacing w:line="276" w:lineRule="auto"/>
        <w:ind w:left="720"/>
        <w:rPr>
          <w:rFonts w:ascii="Arial" w:hAnsi="Arial" w:cs="Arial"/>
          <w:sz w:val="24"/>
          <w:szCs w:val="24"/>
        </w:rPr>
      </w:pPr>
    </w:p>
    <w:p w14:paraId="2A0F8DAE" w14:textId="1BF5C520" w:rsidR="004A29ED" w:rsidRPr="004A29ED" w:rsidRDefault="004A29ED" w:rsidP="004A29ED">
      <w:pPr>
        <w:pStyle w:val="Prrafodelista"/>
        <w:widowControl/>
        <w:numPr>
          <w:ilvl w:val="0"/>
          <w:numId w:val="6"/>
        </w:numPr>
        <w:tabs>
          <w:tab w:val="left" w:pos="1710"/>
        </w:tabs>
        <w:autoSpaceDE/>
        <w:autoSpaceDN/>
        <w:spacing w:line="276" w:lineRule="auto"/>
        <w:rPr>
          <w:rFonts w:ascii="Arial" w:hAnsi="Arial" w:cs="Arial"/>
          <w:sz w:val="24"/>
          <w:szCs w:val="24"/>
        </w:rPr>
      </w:pPr>
      <w:r w:rsidRPr="004A29ED">
        <w:rPr>
          <w:rFonts w:ascii="Arial" w:hAnsi="Arial" w:cs="Arial"/>
          <w:sz w:val="24"/>
          <w:szCs w:val="24"/>
        </w:rPr>
        <w:t>Evaluar la articulación de esta actividad con los instrumentos vigentes de política pública, especialmente los mencionados en el Decreto 315 de 2024, así como los lineamientos establecidos en el Acuerdo 890 de 2023, relacionados con el uso y aprovechamiento del espacio público.</w:t>
      </w:r>
    </w:p>
    <w:p w14:paraId="31BB1ABD" w14:textId="77777777" w:rsidR="004A29ED" w:rsidRPr="004A29ED" w:rsidRDefault="004A29ED" w:rsidP="004A29ED">
      <w:pPr>
        <w:tabs>
          <w:tab w:val="left" w:pos="1710"/>
        </w:tabs>
        <w:spacing w:line="276" w:lineRule="auto"/>
        <w:jc w:val="both"/>
      </w:pPr>
    </w:p>
    <w:p w14:paraId="71FD85EC" w14:textId="77777777" w:rsidR="004A29ED" w:rsidRPr="004A29ED" w:rsidRDefault="004A29ED" w:rsidP="004A29ED">
      <w:pPr>
        <w:pStyle w:val="Prrafodelista"/>
        <w:widowControl/>
        <w:numPr>
          <w:ilvl w:val="0"/>
          <w:numId w:val="6"/>
        </w:numPr>
        <w:tabs>
          <w:tab w:val="left" w:pos="1710"/>
        </w:tabs>
        <w:autoSpaceDE/>
        <w:autoSpaceDN/>
        <w:spacing w:line="276" w:lineRule="auto"/>
        <w:rPr>
          <w:rFonts w:ascii="Arial" w:hAnsi="Arial" w:cs="Arial"/>
          <w:sz w:val="24"/>
          <w:szCs w:val="24"/>
        </w:rPr>
      </w:pPr>
      <w:r w:rsidRPr="004A29ED">
        <w:rPr>
          <w:rFonts w:ascii="Arial" w:hAnsi="Arial" w:cs="Arial"/>
          <w:sz w:val="24"/>
          <w:szCs w:val="24"/>
        </w:rPr>
        <w:t>Difundir la realización de esta actividad como una expresión de la economía popular, el emprendimiento local y la activación comunitaria del espacio público, de conformidad con la normatividad vigente.</w:t>
      </w:r>
    </w:p>
    <w:p w14:paraId="26079098" w14:textId="77777777" w:rsidR="004A29ED" w:rsidRPr="004A29ED" w:rsidRDefault="004A29ED" w:rsidP="004A29ED">
      <w:pPr>
        <w:tabs>
          <w:tab w:val="left" w:pos="1710"/>
        </w:tabs>
        <w:spacing w:line="276" w:lineRule="auto"/>
        <w:jc w:val="both"/>
        <w:rPr>
          <w:u w:val="single"/>
        </w:rPr>
      </w:pPr>
    </w:p>
    <w:p w14:paraId="0B42D364" w14:textId="6C12F714" w:rsidR="004A29ED" w:rsidRPr="004A29ED" w:rsidRDefault="004A29ED" w:rsidP="004A29ED">
      <w:pPr>
        <w:tabs>
          <w:tab w:val="left" w:pos="1710"/>
        </w:tabs>
        <w:spacing w:line="276" w:lineRule="auto"/>
        <w:jc w:val="both"/>
      </w:pPr>
      <w:r w:rsidRPr="004A29ED">
        <w:rPr>
          <w:b/>
          <w:bCs/>
        </w:rPr>
        <w:t xml:space="preserve">ARTÍCULO 4. Mecanismo de control: </w:t>
      </w:r>
      <w:r w:rsidRPr="004A29ED">
        <w:t xml:space="preserve">La administración distrital en el marco de sus competencias llevara a cabo el control para la utilización del espacio público en el marco del artículo 5 del </w:t>
      </w:r>
      <w:r w:rsidR="008D20E0">
        <w:t>D</w:t>
      </w:r>
      <w:r w:rsidRPr="004A29ED">
        <w:t>ecreto 315 de 2024.</w:t>
      </w:r>
    </w:p>
    <w:p w14:paraId="1DB45156" w14:textId="77777777" w:rsidR="004A29ED" w:rsidRPr="004A29ED" w:rsidRDefault="004A29ED" w:rsidP="004A29ED">
      <w:pPr>
        <w:tabs>
          <w:tab w:val="left" w:pos="1710"/>
        </w:tabs>
        <w:spacing w:line="276" w:lineRule="auto"/>
        <w:jc w:val="both"/>
        <w:rPr>
          <w:b/>
          <w:bCs/>
        </w:rPr>
      </w:pPr>
    </w:p>
    <w:p w14:paraId="1C5EA4F1" w14:textId="5ADF0394" w:rsidR="004A29ED" w:rsidRPr="004A29ED" w:rsidRDefault="004A29ED" w:rsidP="004A29ED">
      <w:pPr>
        <w:tabs>
          <w:tab w:val="left" w:pos="1710"/>
        </w:tabs>
        <w:spacing w:line="276" w:lineRule="auto"/>
        <w:jc w:val="both"/>
      </w:pPr>
      <w:r w:rsidRPr="004A29ED">
        <w:rPr>
          <w:b/>
          <w:bCs/>
        </w:rPr>
        <w:t xml:space="preserve">ARTÍCULO 5. Vigencia. </w:t>
      </w:r>
      <w:r w:rsidRPr="004A29ED">
        <w:t>El presente Acuerdo rige a partir de la fecha de su publicación y deroga las disposiciones que le sean contrarias.</w:t>
      </w:r>
    </w:p>
    <w:p w14:paraId="75EA858B" w14:textId="77777777" w:rsidR="004A29ED" w:rsidRPr="004A29ED" w:rsidRDefault="004A29ED" w:rsidP="004A29ED">
      <w:pPr>
        <w:ind w:left="-5" w:hanging="10"/>
      </w:pPr>
    </w:p>
    <w:p w14:paraId="41121716" w14:textId="77777777" w:rsidR="004A29ED" w:rsidRPr="004A29ED" w:rsidRDefault="004A29ED" w:rsidP="004A29ED">
      <w:pPr>
        <w:spacing w:line="264" w:lineRule="auto"/>
        <w:rPr>
          <w:i/>
        </w:rPr>
      </w:pPr>
    </w:p>
    <w:p w14:paraId="133D6F6B" w14:textId="77777777" w:rsidR="009D54BD" w:rsidRPr="004A29ED" w:rsidRDefault="009D54BD" w:rsidP="008723BD">
      <w:pPr>
        <w:pBdr>
          <w:top w:val="nil"/>
          <w:left w:val="nil"/>
          <w:bottom w:val="nil"/>
          <w:right w:val="nil"/>
          <w:between w:val="nil"/>
        </w:pBdr>
        <w:jc w:val="center"/>
        <w:rPr>
          <w:b/>
          <w:color w:val="000000"/>
        </w:rPr>
      </w:pPr>
    </w:p>
    <w:p w14:paraId="1CE639F6" w14:textId="03B7EBEF" w:rsidR="004D0443" w:rsidRPr="004A29ED" w:rsidRDefault="008723BD" w:rsidP="009D54BD">
      <w:pPr>
        <w:pBdr>
          <w:top w:val="nil"/>
          <w:left w:val="nil"/>
          <w:bottom w:val="nil"/>
          <w:right w:val="nil"/>
          <w:between w:val="nil"/>
        </w:pBdr>
        <w:jc w:val="center"/>
        <w:rPr>
          <w:b/>
          <w:color w:val="000000"/>
        </w:rPr>
      </w:pPr>
      <w:r w:rsidRPr="004A29ED">
        <w:rPr>
          <w:b/>
          <w:color w:val="000000"/>
        </w:rPr>
        <w:t>PUBLÍQUESE Y CÚMPLASE</w:t>
      </w:r>
    </w:p>
    <w:sectPr w:rsidR="004D0443" w:rsidRPr="004A29ED" w:rsidSect="008723BD">
      <w:headerReference w:type="default" r:id="rId8"/>
      <w:footerReference w:type="even" r:id="rId9"/>
      <w:footerReference w:type="default" r:id="rId10"/>
      <w:pgSz w:w="12240" w:h="15840"/>
      <w:pgMar w:top="1820" w:right="1440" w:bottom="2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1AA8F" w14:textId="77777777" w:rsidR="00AF3BE0" w:rsidRDefault="00AF3BE0">
      <w:r>
        <w:separator/>
      </w:r>
    </w:p>
  </w:endnote>
  <w:endnote w:type="continuationSeparator" w:id="0">
    <w:p w14:paraId="7D518FD7" w14:textId="77777777" w:rsidR="00AF3BE0" w:rsidRDefault="00AF3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3A2D" w14:textId="77777777" w:rsidR="004D0443" w:rsidRDefault="00DA3067">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1CE63A2E" w14:textId="77777777" w:rsidR="004D0443" w:rsidRDefault="004D0443">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3A2F" w14:textId="77777777" w:rsidR="004D0443" w:rsidRDefault="004D0443">
    <w:pPr>
      <w:pBdr>
        <w:top w:val="nil"/>
        <w:left w:val="nil"/>
        <w:bottom w:val="nil"/>
        <w:right w:val="nil"/>
        <w:between w:val="nil"/>
      </w:pBdr>
      <w:tabs>
        <w:tab w:val="center" w:pos="4252"/>
        <w:tab w:val="right" w:pos="8504"/>
      </w:tabs>
      <w:jc w:val="center"/>
      <w:rPr>
        <w:color w:val="000000"/>
        <w:sz w:val="18"/>
        <w:szCs w:val="18"/>
      </w:rPr>
    </w:pPr>
  </w:p>
  <w:p w14:paraId="1CE63A30" w14:textId="77777777" w:rsidR="004D0443" w:rsidRDefault="004D0443">
    <w:pPr>
      <w:pBdr>
        <w:top w:val="nil"/>
        <w:left w:val="nil"/>
        <w:bottom w:val="nil"/>
        <w:right w:val="nil"/>
        <w:between w:val="nil"/>
      </w:pBdr>
      <w:tabs>
        <w:tab w:val="center" w:pos="4252"/>
        <w:tab w:val="right" w:pos="8504"/>
      </w:tabs>
      <w:jc w:val="center"/>
      <w:rPr>
        <w:color w:val="000000"/>
        <w:sz w:val="18"/>
        <w:szCs w:val="18"/>
      </w:rPr>
    </w:pPr>
  </w:p>
  <w:p w14:paraId="1CE63A31" w14:textId="77777777" w:rsidR="004D0443" w:rsidRDefault="004D0443">
    <w:pPr>
      <w:pBdr>
        <w:top w:val="nil"/>
        <w:left w:val="nil"/>
        <w:bottom w:val="nil"/>
        <w:right w:val="nil"/>
        <w:between w:val="nil"/>
      </w:pBdr>
      <w:tabs>
        <w:tab w:val="center" w:pos="4252"/>
        <w:tab w:val="right" w:pos="8504"/>
      </w:tabs>
      <w:jc w:val="center"/>
      <w:rPr>
        <w:color w:val="000000"/>
        <w:sz w:val="16"/>
        <w:szCs w:val="16"/>
      </w:rPr>
    </w:pPr>
  </w:p>
  <w:p w14:paraId="1CE63A32" w14:textId="77777777" w:rsidR="004D0443" w:rsidRDefault="004D0443">
    <w:pPr>
      <w:pBdr>
        <w:top w:val="nil"/>
        <w:left w:val="nil"/>
        <w:bottom w:val="nil"/>
        <w:right w:val="nil"/>
        <w:between w:val="nil"/>
      </w:pBdr>
      <w:tabs>
        <w:tab w:val="center" w:pos="4252"/>
        <w:tab w:val="right" w:pos="8504"/>
      </w:tabs>
      <w:rPr>
        <w:color w:val="000000"/>
        <w:sz w:val="16"/>
        <w:szCs w:val="16"/>
      </w:rPr>
    </w:pPr>
  </w:p>
  <w:p w14:paraId="1CE63A33" w14:textId="77777777" w:rsidR="004D0443" w:rsidRDefault="004D0443">
    <w:pPr>
      <w:pBdr>
        <w:top w:val="nil"/>
        <w:left w:val="nil"/>
        <w:bottom w:val="nil"/>
        <w:right w:val="nil"/>
        <w:between w:val="nil"/>
      </w:pBdr>
      <w:tabs>
        <w:tab w:val="center" w:pos="4252"/>
        <w:tab w:val="right" w:pos="8504"/>
      </w:tabs>
      <w:rPr>
        <w:color w:val="000000"/>
        <w:sz w:val="16"/>
        <w:szCs w:val="16"/>
      </w:rPr>
    </w:pPr>
  </w:p>
  <w:p w14:paraId="1CE63A34" w14:textId="77777777" w:rsidR="004D0443" w:rsidRDefault="004D0443">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7246A" w14:textId="77777777" w:rsidR="00AF3BE0" w:rsidRDefault="00AF3BE0">
      <w:r>
        <w:separator/>
      </w:r>
    </w:p>
  </w:footnote>
  <w:footnote w:type="continuationSeparator" w:id="0">
    <w:p w14:paraId="70F994C5" w14:textId="77777777" w:rsidR="00AF3BE0" w:rsidRDefault="00AF3B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3A1F" w14:textId="77777777" w:rsidR="004D0443" w:rsidRDefault="004D0443">
    <w:pPr>
      <w:widowControl w:val="0"/>
      <w:pBdr>
        <w:top w:val="nil"/>
        <w:left w:val="nil"/>
        <w:bottom w:val="nil"/>
        <w:right w:val="nil"/>
        <w:between w:val="nil"/>
      </w:pBdr>
      <w:spacing w:line="276" w:lineRule="auto"/>
      <w:rPr>
        <w:rFonts w:ascii="Bookman Old Style" w:eastAsia="Bookman Old Style" w:hAnsi="Bookman Old Style" w:cs="Bookman Old Style"/>
        <w:sz w:val="20"/>
        <w:szCs w:val="20"/>
      </w:rPr>
    </w:pPr>
  </w:p>
  <w:tbl>
    <w:tblPr>
      <w:tblStyle w:val="aff4"/>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234"/>
    </w:tblGrid>
    <w:tr w:rsidR="004D0443" w14:paraId="1CE63A23" w14:textId="77777777">
      <w:trPr>
        <w:trHeight w:val="454"/>
      </w:trPr>
      <w:tc>
        <w:tcPr>
          <w:tcW w:w="2361" w:type="dxa"/>
          <w:vMerge w:val="restart"/>
          <w:vAlign w:val="center"/>
        </w:tcPr>
        <w:p w14:paraId="1CE63A20" w14:textId="77777777" w:rsidR="004D0443" w:rsidRDefault="00DA3067">
          <w:pPr>
            <w:jc w:val="center"/>
            <w:rPr>
              <w:sz w:val="16"/>
              <w:szCs w:val="16"/>
            </w:rPr>
          </w:pPr>
          <w:r>
            <w:rPr>
              <w:noProof/>
              <w:sz w:val="16"/>
              <w:szCs w:val="16"/>
              <w:lang w:val="es-CO"/>
            </w:rPr>
            <w:drawing>
              <wp:inline distT="0" distB="0" distL="0" distR="0" wp14:anchorId="1CE63A35" wp14:editId="1CE63A36">
                <wp:extent cx="749935" cy="883920"/>
                <wp:effectExtent l="0" t="0" r="0" b="0"/>
                <wp:docPr id="152"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
                        <a:srcRect/>
                        <a:stretch>
                          <a:fillRect/>
                        </a:stretch>
                      </pic:blipFill>
                      <pic:spPr>
                        <a:xfrm>
                          <a:off x="0" y="0"/>
                          <a:ext cx="749935" cy="883920"/>
                        </a:xfrm>
                        <a:prstGeom prst="rect">
                          <a:avLst/>
                        </a:prstGeom>
                        <a:ln/>
                      </pic:spPr>
                    </pic:pic>
                  </a:graphicData>
                </a:graphic>
              </wp:inline>
            </w:drawing>
          </w:r>
        </w:p>
      </w:tc>
      <w:tc>
        <w:tcPr>
          <w:tcW w:w="4235" w:type="dxa"/>
          <w:vAlign w:val="center"/>
        </w:tcPr>
        <w:p w14:paraId="1CE63A21" w14:textId="77777777" w:rsidR="004D0443" w:rsidRDefault="00DA3067">
          <w:pPr>
            <w:jc w:val="center"/>
            <w:rPr>
              <w:sz w:val="18"/>
              <w:szCs w:val="18"/>
            </w:rPr>
          </w:pPr>
          <w:r>
            <w:rPr>
              <w:sz w:val="18"/>
              <w:szCs w:val="18"/>
            </w:rPr>
            <w:t>PROCESO GESTIÓN NORMATIVA</w:t>
          </w:r>
        </w:p>
      </w:tc>
      <w:tc>
        <w:tcPr>
          <w:tcW w:w="2234" w:type="dxa"/>
          <w:vAlign w:val="center"/>
        </w:tcPr>
        <w:p w14:paraId="1CE63A22" w14:textId="77777777" w:rsidR="004D0443" w:rsidRDefault="00DA3067">
          <w:pPr>
            <w:rPr>
              <w:sz w:val="16"/>
              <w:szCs w:val="16"/>
            </w:rPr>
          </w:pPr>
          <w:r>
            <w:rPr>
              <w:sz w:val="16"/>
              <w:szCs w:val="16"/>
            </w:rPr>
            <w:t>CÓDIGO</w:t>
          </w:r>
          <w:r>
            <w:rPr>
              <w:color w:val="3366FF"/>
              <w:sz w:val="16"/>
              <w:szCs w:val="16"/>
            </w:rPr>
            <w:t xml:space="preserve">: </w:t>
          </w:r>
          <w:r>
            <w:rPr>
              <w:sz w:val="16"/>
              <w:szCs w:val="16"/>
            </w:rPr>
            <w:t>GNV-FO-001</w:t>
          </w:r>
        </w:p>
      </w:tc>
    </w:tr>
    <w:tr w:rsidR="004D0443" w14:paraId="1CE63A27" w14:textId="77777777">
      <w:trPr>
        <w:trHeight w:val="454"/>
      </w:trPr>
      <w:tc>
        <w:tcPr>
          <w:tcW w:w="2361" w:type="dxa"/>
          <w:vMerge/>
          <w:vAlign w:val="center"/>
        </w:tcPr>
        <w:p w14:paraId="1CE63A24" w14:textId="77777777" w:rsidR="004D0443" w:rsidRDefault="004D0443">
          <w:pPr>
            <w:widowControl w:val="0"/>
            <w:pBdr>
              <w:top w:val="nil"/>
              <w:left w:val="nil"/>
              <w:bottom w:val="nil"/>
              <w:right w:val="nil"/>
              <w:between w:val="nil"/>
            </w:pBdr>
            <w:spacing w:line="276" w:lineRule="auto"/>
            <w:rPr>
              <w:sz w:val="16"/>
              <w:szCs w:val="16"/>
            </w:rPr>
          </w:pPr>
        </w:p>
      </w:tc>
      <w:tc>
        <w:tcPr>
          <w:tcW w:w="4235" w:type="dxa"/>
          <w:vMerge w:val="restart"/>
          <w:vAlign w:val="center"/>
        </w:tcPr>
        <w:p w14:paraId="1CE63A25" w14:textId="77777777" w:rsidR="004D0443" w:rsidRDefault="00DA3067">
          <w:pPr>
            <w:jc w:val="center"/>
            <w:rPr>
              <w:sz w:val="20"/>
              <w:szCs w:val="20"/>
            </w:rPr>
          </w:pPr>
          <w:r>
            <w:rPr>
              <w:sz w:val="20"/>
              <w:szCs w:val="20"/>
            </w:rPr>
            <w:t>PRESENTACIÓN PROYECTOS DE ACUERDO</w:t>
          </w:r>
        </w:p>
      </w:tc>
      <w:tc>
        <w:tcPr>
          <w:tcW w:w="2234" w:type="dxa"/>
          <w:vAlign w:val="center"/>
        </w:tcPr>
        <w:p w14:paraId="1CE63A26" w14:textId="77777777" w:rsidR="004D0443" w:rsidRDefault="00DA3067">
          <w:pPr>
            <w:rPr>
              <w:sz w:val="16"/>
              <w:szCs w:val="16"/>
            </w:rPr>
          </w:pPr>
          <w:r>
            <w:rPr>
              <w:sz w:val="16"/>
              <w:szCs w:val="16"/>
            </w:rPr>
            <w:t>VERSIÓN:    02</w:t>
          </w:r>
        </w:p>
      </w:tc>
    </w:tr>
    <w:tr w:rsidR="004D0443" w14:paraId="1CE63A2B" w14:textId="77777777">
      <w:trPr>
        <w:trHeight w:val="454"/>
      </w:trPr>
      <w:tc>
        <w:tcPr>
          <w:tcW w:w="2361" w:type="dxa"/>
          <w:vMerge/>
          <w:vAlign w:val="center"/>
        </w:tcPr>
        <w:p w14:paraId="1CE63A28" w14:textId="77777777" w:rsidR="004D0443" w:rsidRDefault="004D0443">
          <w:pPr>
            <w:widowControl w:val="0"/>
            <w:pBdr>
              <w:top w:val="nil"/>
              <w:left w:val="nil"/>
              <w:bottom w:val="nil"/>
              <w:right w:val="nil"/>
              <w:between w:val="nil"/>
            </w:pBdr>
            <w:spacing w:line="276" w:lineRule="auto"/>
            <w:rPr>
              <w:sz w:val="16"/>
              <w:szCs w:val="16"/>
            </w:rPr>
          </w:pPr>
        </w:p>
      </w:tc>
      <w:tc>
        <w:tcPr>
          <w:tcW w:w="4235" w:type="dxa"/>
          <w:vMerge/>
          <w:vAlign w:val="center"/>
        </w:tcPr>
        <w:p w14:paraId="1CE63A29" w14:textId="77777777" w:rsidR="004D0443" w:rsidRDefault="004D0443">
          <w:pPr>
            <w:widowControl w:val="0"/>
            <w:pBdr>
              <w:top w:val="nil"/>
              <w:left w:val="nil"/>
              <w:bottom w:val="nil"/>
              <w:right w:val="nil"/>
              <w:between w:val="nil"/>
            </w:pBdr>
            <w:spacing w:line="276" w:lineRule="auto"/>
            <w:rPr>
              <w:sz w:val="16"/>
              <w:szCs w:val="16"/>
            </w:rPr>
          </w:pPr>
        </w:p>
      </w:tc>
      <w:tc>
        <w:tcPr>
          <w:tcW w:w="2234" w:type="dxa"/>
          <w:vAlign w:val="center"/>
        </w:tcPr>
        <w:p w14:paraId="1CE63A2A" w14:textId="77777777" w:rsidR="004D0443" w:rsidRDefault="00DA3067">
          <w:pPr>
            <w:rPr>
              <w:sz w:val="16"/>
              <w:szCs w:val="16"/>
            </w:rPr>
          </w:pPr>
          <w:r>
            <w:rPr>
              <w:sz w:val="16"/>
              <w:szCs w:val="16"/>
            </w:rPr>
            <w:t>FECHA: 14-Nov-2019</w:t>
          </w:r>
        </w:p>
      </w:tc>
    </w:tr>
  </w:tbl>
  <w:p w14:paraId="1CE63A2C" w14:textId="77777777" w:rsidR="004D0443" w:rsidRDefault="004D0443">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059F5"/>
    <w:multiLevelType w:val="multilevel"/>
    <w:tmpl w:val="AD202C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B2530D6"/>
    <w:multiLevelType w:val="multilevel"/>
    <w:tmpl w:val="5BE023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EE341DA"/>
    <w:multiLevelType w:val="hybridMultilevel"/>
    <w:tmpl w:val="2CC02CFA"/>
    <w:lvl w:ilvl="0" w:tplc="BB564FB8">
      <w:start w:val="1"/>
      <w:numFmt w:val="upperLetter"/>
      <w:lvlText w:val="%1."/>
      <w:lvlJc w:val="left"/>
      <w:pPr>
        <w:ind w:left="978" w:hanging="361"/>
      </w:pPr>
      <w:rPr>
        <w:rFonts w:ascii="Times New Roman" w:eastAsia="Times New Roman" w:hAnsi="Times New Roman" w:cs="Times New Roman" w:hint="default"/>
        <w:b w:val="0"/>
        <w:bCs w:val="0"/>
        <w:i w:val="0"/>
        <w:iCs w:val="0"/>
        <w:spacing w:val="0"/>
        <w:w w:val="102"/>
        <w:sz w:val="22"/>
        <w:szCs w:val="22"/>
        <w:lang w:val="es-ES" w:eastAsia="en-US" w:bidi="ar-SA"/>
      </w:rPr>
    </w:lvl>
    <w:lvl w:ilvl="1" w:tplc="C5AE4E38">
      <w:numFmt w:val="bullet"/>
      <w:lvlText w:val="•"/>
      <w:lvlJc w:val="left"/>
      <w:pPr>
        <w:ind w:left="1818" w:hanging="361"/>
      </w:pPr>
      <w:rPr>
        <w:rFonts w:hint="default"/>
        <w:lang w:val="es-ES" w:eastAsia="en-US" w:bidi="ar-SA"/>
      </w:rPr>
    </w:lvl>
    <w:lvl w:ilvl="2" w:tplc="384C4866">
      <w:numFmt w:val="bullet"/>
      <w:lvlText w:val="•"/>
      <w:lvlJc w:val="left"/>
      <w:pPr>
        <w:ind w:left="2656" w:hanging="361"/>
      </w:pPr>
      <w:rPr>
        <w:rFonts w:hint="default"/>
        <w:lang w:val="es-ES" w:eastAsia="en-US" w:bidi="ar-SA"/>
      </w:rPr>
    </w:lvl>
    <w:lvl w:ilvl="3" w:tplc="BED8F58A">
      <w:numFmt w:val="bullet"/>
      <w:lvlText w:val="•"/>
      <w:lvlJc w:val="left"/>
      <w:pPr>
        <w:ind w:left="3494" w:hanging="361"/>
      </w:pPr>
      <w:rPr>
        <w:rFonts w:hint="default"/>
        <w:lang w:val="es-ES" w:eastAsia="en-US" w:bidi="ar-SA"/>
      </w:rPr>
    </w:lvl>
    <w:lvl w:ilvl="4" w:tplc="69763BBE">
      <w:numFmt w:val="bullet"/>
      <w:lvlText w:val="•"/>
      <w:lvlJc w:val="left"/>
      <w:pPr>
        <w:ind w:left="4332" w:hanging="361"/>
      </w:pPr>
      <w:rPr>
        <w:rFonts w:hint="default"/>
        <w:lang w:val="es-ES" w:eastAsia="en-US" w:bidi="ar-SA"/>
      </w:rPr>
    </w:lvl>
    <w:lvl w:ilvl="5" w:tplc="7630AA76">
      <w:numFmt w:val="bullet"/>
      <w:lvlText w:val="•"/>
      <w:lvlJc w:val="left"/>
      <w:pPr>
        <w:ind w:left="5170" w:hanging="361"/>
      </w:pPr>
      <w:rPr>
        <w:rFonts w:hint="default"/>
        <w:lang w:val="es-ES" w:eastAsia="en-US" w:bidi="ar-SA"/>
      </w:rPr>
    </w:lvl>
    <w:lvl w:ilvl="6" w:tplc="1DC09A94">
      <w:numFmt w:val="bullet"/>
      <w:lvlText w:val="•"/>
      <w:lvlJc w:val="left"/>
      <w:pPr>
        <w:ind w:left="6008" w:hanging="361"/>
      </w:pPr>
      <w:rPr>
        <w:rFonts w:hint="default"/>
        <w:lang w:val="es-ES" w:eastAsia="en-US" w:bidi="ar-SA"/>
      </w:rPr>
    </w:lvl>
    <w:lvl w:ilvl="7" w:tplc="C658CE04">
      <w:numFmt w:val="bullet"/>
      <w:lvlText w:val="•"/>
      <w:lvlJc w:val="left"/>
      <w:pPr>
        <w:ind w:left="6846" w:hanging="361"/>
      </w:pPr>
      <w:rPr>
        <w:rFonts w:hint="default"/>
        <w:lang w:val="es-ES" w:eastAsia="en-US" w:bidi="ar-SA"/>
      </w:rPr>
    </w:lvl>
    <w:lvl w:ilvl="8" w:tplc="E5FEDF1E">
      <w:numFmt w:val="bullet"/>
      <w:lvlText w:val="•"/>
      <w:lvlJc w:val="left"/>
      <w:pPr>
        <w:ind w:left="7684" w:hanging="361"/>
      </w:pPr>
      <w:rPr>
        <w:rFonts w:hint="default"/>
        <w:lang w:val="es-ES" w:eastAsia="en-US" w:bidi="ar-SA"/>
      </w:rPr>
    </w:lvl>
  </w:abstractNum>
  <w:abstractNum w:abstractNumId="3" w15:restartNumberingAfterBreak="0">
    <w:nsid w:val="46F3240F"/>
    <w:multiLevelType w:val="multilevel"/>
    <w:tmpl w:val="38A0CC2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411208E"/>
    <w:multiLevelType w:val="hybridMultilevel"/>
    <w:tmpl w:val="508A1F14"/>
    <w:lvl w:ilvl="0" w:tplc="8E3E511C">
      <w:start w:val="1"/>
      <w:numFmt w:val="upperLetter"/>
      <w:lvlText w:val="%1."/>
      <w:lvlJc w:val="left"/>
      <w:pPr>
        <w:ind w:left="978" w:hanging="361"/>
      </w:pPr>
      <w:rPr>
        <w:rFonts w:ascii="Times New Roman" w:eastAsia="Times New Roman" w:hAnsi="Times New Roman" w:cs="Times New Roman" w:hint="default"/>
        <w:b w:val="0"/>
        <w:bCs w:val="0"/>
        <w:i w:val="0"/>
        <w:iCs w:val="0"/>
        <w:spacing w:val="0"/>
        <w:w w:val="102"/>
        <w:sz w:val="22"/>
        <w:szCs w:val="22"/>
        <w:lang w:val="es-ES" w:eastAsia="en-US" w:bidi="ar-SA"/>
      </w:rPr>
    </w:lvl>
    <w:lvl w:ilvl="1" w:tplc="2C5E767C">
      <w:numFmt w:val="bullet"/>
      <w:lvlText w:val="•"/>
      <w:lvlJc w:val="left"/>
      <w:pPr>
        <w:ind w:left="1818" w:hanging="361"/>
      </w:pPr>
      <w:rPr>
        <w:rFonts w:hint="default"/>
        <w:lang w:val="es-ES" w:eastAsia="en-US" w:bidi="ar-SA"/>
      </w:rPr>
    </w:lvl>
    <w:lvl w:ilvl="2" w:tplc="D37CF61A">
      <w:numFmt w:val="bullet"/>
      <w:lvlText w:val="•"/>
      <w:lvlJc w:val="left"/>
      <w:pPr>
        <w:ind w:left="2656" w:hanging="361"/>
      </w:pPr>
      <w:rPr>
        <w:rFonts w:hint="default"/>
        <w:lang w:val="es-ES" w:eastAsia="en-US" w:bidi="ar-SA"/>
      </w:rPr>
    </w:lvl>
    <w:lvl w:ilvl="3" w:tplc="F45AA688">
      <w:numFmt w:val="bullet"/>
      <w:lvlText w:val="•"/>
      <w:lvlJc w:val="left"/>
      <w:pPr>
        <w:ind w:left="3494" w:hanging="361"/>
      </w:pPr>
      <w:rPr>
        <w:rFonts w:hint="default"/>
        <w:lang w:val="es-ES" w:eastAsia="en-US" w:bidi="ar-SA"/>
      </w:rPr>
    </w:lvl>
    <w:lvl w:ilvl="4" w:tplc="20DE55CA">
      <w:numFmt w:val="bullet"/>
      <w:lvlText w:val="•"/>
      <w:lvlJc w:val="left"/>
      <w:pPr>
        <w:ind w:left="4332" w:hanging="361"/>
      </w:pPr>
      <w:rPr>
        <w:rFonts w:hint="default"/>
        <w:lang w:val="es-ES" w:eastAsia="en-US" w:bidi="ar-SA"/>
      </w:rPr>
    </w:lvl>
    <w:lvl w:ilvl="5" w:tplc="900EFDA0">
      <w:numFmt w:val="bullet"/>
      <w:lvlText w:val="•"/>
      <w:lvlJc w:val="left"/>
      <w:pPr>
        <w:ind w:left="5170" w:hanging="361"/>
      </w:pPr>
      <w:rPr>
        <w:rFonts w:hint="default"/>
        <w:lang w:val="es-ES" w:eastAsia="en-US" w:bidi="ar-SA"/>
      </w:rPr>
    </w:lvl>
    <w:lvl w:ilvl="6" w:tplc="87F2DE70">
      <w:numFmt w:val="bullet"/>
      <w:lvlText w:val="•"/>
      <w:lvlJc w:val="left"/>
      <w:pPr>
        <w:ind w:left="6008" w:hanging="361"/>
      </w:pPr>
      <w:rPr>
        <w:rFonts w:hint="default"/>
        <w:lang w:val="es-ES" w:eastAsia="en-US" w:bidi="ar-SA"/>
      </w:rPr>
    </w:lvl>
    <w:lvl w:ilvl="7" w:tplc="2E909536">
      <w:numFmt w:val="bullet"/>
      <w:lvlText w:val="•"/>
      <w:lvlJc w:val="left"/>
      <w:pPr>
        <w:ind w:left="6846" w:hanging="361"/>
      </w:pPr>
      <w:rPr>
        <w:rFonts w:hint="default"/>
        <w:lang w:val="es-ES" w:eastAsia="en-US" w:bidi="ar-SA"/>
      </w:rPr>
    </w:lvl>
    <w:lvl w:ilvl="8" w:tplc="D5C0DEEC">
      <w:numFmt w:val="bullet"/>
      <w:lvlText w:val="•"/>
      <w:lvlJc w:val="left"/>
      <w:pPr>
        <w:ind w:left="7684" w:hanging="361"/>
      </w:pPr>
      <w:rPr>
        <w:rFonts w:hint="default"/>
        <w:lang w:val="es-ES" w:eastAsia="en-US" w:bidi="ar-SA"/>
      </w:rPr>
    </w:lvl>
  </w:abstractNum>
  <w:abstractNum w:abstractNumId="5" w15:restartNumberingAfterBreak="0">
    <w:nsid w:val="6CCB6DB1"/>
    <w:multiLevelType w:val="hybridMultilevel"/>
    <w:tmpl w:val="67B027D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443"/>
    <w:rsid w:val="000414C1"/>
    <w:rsid w:val="0009008E"/>
    <w:rsid w:val="000E63D8"/>
    <w:rsid w:val="003D176C"/>
    <w:rsid w:val="003E1864"/>
    <w:rsid w:val="004A29ED"/>
    <w:rsid w:val="004B7125"/>
    <w:rsid w:val="004D0443"/>
    <w:rsid w:val="005D1EBD"/>
    <w:rsid w:val="006321D3"/>
    <w:rsid w:val="00635C07"/>
    <w:rsid w:val="006901D5"/>
    <w:rsid w:val="006E62DC"/>
    <w:rsid w:val="00795DEE"/>
    <w:rsid w:val="007F3311"/>
    <w:rsid w:val="008723BD"/>
    <w:rsid w:val="008D20E0"/>
    <w:rsid w:val="009851AA"/>
    <w:rsid w:val="009C472A"/>
    <w:rsid w:val="009D54BD"/>
    <w:rsid w:val="00AB591A"/>
    <w:rsid w:val="00AB5DE9"/>
    <w:rsid w:val="00AF3BE0"/>
    <w:rsid w:val="00AF6941"/>
    <w:rsid w:val="00B21F7F"/>
    <w:rsid w:val="00C6503D"/>
    <w:rsid w:val="00C95019"/>
    <w:rsid w:val="00D40900"/>
    <w:rsid w:val="00D60025"/>
    <w:rsid w:val="00DA3067"/>
    <w:rsid w:val="00DE0C0D"/>
    <w:rsid w:val="00E01BF5"/>
    <w:rsid w:val="00E15EED"/>
    <w:rsid w:val="00EB102C"/>
    <w:rsid w:val="00FC3629"/>
    <w:rsid w:val="00FD4352"/>
    <w:rsid w:val="00FF444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637B8"/>
  <w15:docId w15:val="{7C3F68D0-CD3E-4333-9119-E4652098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jc w:val="center"/>
      <w:outlineLvl w:val="0"/>
    </w:pPr>
    <w:rPr>
      <w:rFonts w:ascii="Times New Roman" w:eastAsia="Times New Roman" w:hAnsi="Times New Roman" w:cs="Times New Roman"/>
      <w:color w:val="000000"/>
    </w:rPr>
  </w:style>
  <w:style w:type="paragraph" w:styleId="Ttulo2">
    <w:name w:val="heading 2"/>
    <w:basedOn w:val="Normal"/>
    <w:next w:val="Normal"/>
    <w:uiPriority w:val="9"/>
    <w:semiHidden/>
    <w:unhideWhenUsed/>
    <w:qFormat/>
    <w:pPr>
      <w:keepNext/>
      <w:outlineLvl w:val="1"/>
    </w:pPr>
    <w:rPr>
      <w:rFonts w:ascii="Times New Roman" w:eastAsia="Times New Roman" w:hAnsi="Times New Roman" w:cs="Times New Roman"/>
      <w:color w:val="000000"/>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spacing w:before="240" w:after="60"/>
      <w:outlineLvl w:val="3"/>
    </w:pPr>
    <w:rPr>
      <w:rFonts w:ascii="Times New Roman" w:eastAsia="Times New Roman" w:hAnsi="Times New Roman" w:cs="Times New Roman"/>
      <w:b/>
      <w:color w:val="000000"/>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table" w:customStyle="1" w:styleId="TableNormalc">
    <w:name w:val="Table Normal"/>
    <w:tblPr>
      <w:tblCellMar>
        <w:top w:w="0" w:type="dxa"/>
        <w:left w:w="0" w:type="dxa"/>
        <w:bottom w:w="0" w:type="dxa"/>
        <w:right w:w="0" w:type="dxa"/>
      </w:tblCellMar>
    </w:tblPr>
  </w:style>
  <w:style w:type="table" w:customStyle="1" w:styleId="TableNormald">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d"/>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95734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57344"/>
    <w:rPr>
      <w:rFonts w:ascii="Segoe UI" w:hAnsi="Segoe UI" w:cs="Segoe UI"/>
      <w:sz w:val="18"/>
      <w:szCs w:val="18"/>
    </w:rPr>
  </w:style>
  <w:style w:type="paragraph" w:styleId="Revisin">
    <w:name w:val="Revision"/>
    <w:hidden/>
    <w:uiPriority w:val="99"/>
    <w:semiHidden/>
    <w:rsid w:val="00957344"/>
  </w:style>
  <w:style w:type="paragraph" w:styleId="Encabezado">
    <w:name w:val="header"/>
    <w:basedOn w:val="Normal"/>
    <w:link w:val="EncabezadoCar"/>
    <w:uiPriority w:val="99"/>
    <w:unhideWhenUsed/>
    <w:rsid w:val="005240A3"/>
    <w:pPr>
      <w:tabs>
        <w:tab w:val="center" w:pos="4419"/>
        <w:tab w:val="right" w:pos="8838"/>
      </w:tabs>
    </w:pPr>
  </w:style>
  <w:style w:type="character" w:customStyle="1" w:styleId="EncabezadoCar">
    <w:name w:val="Encabezado Car"/>
    <w:basedOn w:val="Fuentedeprrafopredeter"/>
    <w:link w:val="Encabezado"/>
    <w:uiPriority w:val="99"/>
    <w:rsid w:val="005240A3"/>
  </w:style>
  <w:style w:type="paragraph" w:styleId="Piedepgina">
    <w:name w:val="footer"/>
    <w:basedOn w:val="Normal"/>
    <w:link w:val="PiedepginaCar"/>
    <w:uiPriority w:val="99"/>
    <w:unhideWhenUsed/>
    <w:rsid w:val="005240A3"/>
    <w:pPr>
      <w:tabs>
        <w:tab w:val="center" w:pos="4419"/>
        <w:tab w:val="right" w:pos="8838"/>
      </w:tabs>
    </w:pPr>
  </w:style>
  <w:style w:type="character" w:customStyle="1" w:styleId="PiedepginaCar">
    <w:name w:val="Pie de página Car"/>
    <w:basedOn w:val="Fuentedeprrafopredeter"/>
    <w:link w:val="Piedepgina"/>
    <w:uiPriority w:val="99"/>
    <w:rsid w:val="005240A3"/>
  </w:style>
  <w:style w:type="table" w:customStyle="1" w:styleId="a0">
    <w:basedOn w:val="TableNormald"/>
    <w:tblPr>
      <w:tblStyleRowBandSize w:val="1"/>
      <w:tblStyleColBandSize w:val="1"/>
      <w:tblCellMar>
        <w:left w:w="70" w:type="dxa"/>
        <w:right w:w="70" w:type="dxa"/>
      </w:tblCellMar>
    </w:tblPr>
  </w:style>
  <w:style w:type="table" w:customStyle="1" w:styleId="a1">
    <w:basedOn w:val="TableNormald"/>
    <w:tblPr>
      <w:tblStyleRowBandSize w:val="1"/>
      <w:tblStyleColBandSize w:val="1"/>
      <w:tblCellMar>
        <w:left w:w="70" w:type="dxa"/>
        <w:right w:w="70" w:type="dxa"/>
      </w:tblCellMar>
    </w:tblPr>
  </w:style>
  <w:style w:type="table" w:customStyle="1" w:styleId="a2">
    <w:basedOn w:val="TableNormald"/>
    <w:tblPr>
      <w:tblStyleRowBandSize w:val="1"/>
      <w:tblStyleColBandSize w:val="1"/>
      <w:tblCellMar>
        <w:top w:w="100" w:type="dxa"/>
        <w:left w:w="100" w:type="dxa"/>
        <w:bottom w:w="100" w:type="dxa"/>
        <w:right w:w="100" w:type="dxa"/>
      </w:tblCellMar>
    </w:tblPr>
  </w:style>
  <w:style w:type="table" w:customStyle="1" w:styleId="a3">
    <w:basedOn w:val="TableNormald"/>
    <w:tblPr>
      <w:tblStyleRowBandSize w:val="1"/>
      <w:tblStyleColBandSize w:val="1"/>
      <w:tblCellMar>
        <w:left w:w="70" w:type="dxa"/>
        <w:right w:w="70" w:type="dxa"/>
      </w:tblCellMar>
    </w:tblPr>
  </w:style>
  <w:style w:type="table" w:customStyle="1" w:styleId="a4">
    <w:basedOn w:val="TableNormald"/>
    <w:tblPr>
      <w:tblStyleRowBandSize w:val="1"/>
      <w:tblStyleColBandSize w:val="1"/>
      <w:tblCellMar>
        <w:left w:w="70" w:type="dxa"/>
        <w:right w:w="70" w:type="dxa"/>
      </w:tblCellMar>
    </w:tblPr>
  </w:style>
  <w:style w:type="table" w:customStyle="1" w:styleId="a5">
    <w:basedOn w:val="TableNormald"/>
    <w:tblPr>
      <w:tblStyleRowBandSize w:val="1"/>
      <w:tblStyleColBandSize w:val="1"/>
      <w:tblCellMar>
        <w:left w:w="70" w:type="dxa"/>
        <w:right w:w="70" w:type="dxa"/>
      </w:tblCellMar>
    </w:tblPr>
  </w:style>
  <w:style w:type="table" w:customStyle="1" w:styleId="a6">
    <w:basedOn w:val="TableNormald"/>
    <w:tblPr>
      <w:tblStyleRowBandSize w:val="1"/>
      <w:tblStyleColBandSize w:val="1"/>
      <w:tblCellMar>
        <w:left w:w="70" w:type="dxa"/>
        <w:right w:w="70" w:type="dxa"/>
      </w:tblCellMar>
    </w:tblPr>
  </w:style>
  <w:style w:type="table" w:customStyle="1" w:styleId="a7">
    <w:basedOn w:val="TableNormald"/>
    <w:tblPr>
      <w:tblStyleRowBandSize w:val="1"/>
      <w:tblStyleColBandSize w:val="1"/>
      <w:tblCellMar>
        <w:top w:w="100" w:type="dxa"/>
        <w:left w:w="100" w:type="dxa"/>
        <w:bottom w:w="100" w:type="dxa"/>
        <w:right w:w="100" w:type="dxa"/>
      </w:tblCellMar>
    </w:tblPr>
  </w:style>
  <w:style w:type="table" w:customStyle="1" w:styleId="a8">
    <w:basedOn w:val="TableNormald"/>
    <w:tblPr>
      <w:tblStyleRowBandSize w:val="1"/>
      <w:tblStyleColBandSize w:val="1"/>
      <w:tblCellMar>
        <w:top w:w="100" w:type="dxa"/>
        <w:left w:w="100" w:type="dxa"/>
        <w:bottom w:w="100" w:type="dxa"/>
        <w:right w:w="100" w:type="dxa"/>
      </w:tblCellMar>
    </w:tblPr>
  </w:style>
  <w:style w:type="table" w:customStyle="1" w:styleId="a9">
    <w:basedOn w:val="TableNormald"/>
    <w:tblPr>
      <w:tblStyleRowBandSize w:val="1"/>
      <w:tblStyleColBandSize w:val="1"/>
      <w:tblCellMar>
        <w:left w:w="70" w:type="dxa"/>
        <w:right w:w="70" w:type="dxa"/>
      </w:tblCellMar>
    </w:tblPr>
  </w:style>
  <w:style w:type="table" w:customStyle="1" w:styleId="aa">
    <w:basedOn w:val="TableNormal6"/>
    <w:tblPr>
      <w:tblStyleRowBandSize w:val="1"/>
      <w:tblStyleColBandSize w:val="1"/>
      <w:tblCellMar>
        <w:top w:w="100" w:type="dxa"/>
        <w:left w:w="100" w:type="dxa"/>
        <w:bottom w:w="100" w:type="dxa"/>
        <w:right w:w="100" w:type="dxa"/>
      </w:tblCellMar>
    </w:tblPr>
  </w:style>
  <w:style w:type="table" w:customStyle="1" w:styleId="ab">
    <w:basedOn w:val="TableNormal6"/>
    <w:tblPr>
      <w:tblStyleRowBandSize w:val="1"/>
      <w:tblStyleColBandSize w:val="1"/>
      <w:tblCellMar>
        <w:top w:w="100" w:type="dxa"/>
        <w:left w:w="70" w:type="dxa"/>
        <w:bottom w:w="100" w:type="dxa"/>
        <w:right w:w="70" w:type="dxa"/>
      </w:tblCellMar>
    </w:tblPr>
  </w:style>
  <w:style w:type="table" w:customStyle="1" w:styleId="ac">
    <w:basedOn w:val="TableNormal6"/>
    <w:tblPr>
      <w:tblStyleRowBandSize w:val="1"/>
      <w:tblStyleColBandSize w:val="1"/>
      <w:tblCellMar>
        <w:top w:w="100" w:type="dxa"/>
        <w:left w:w="70" w:type="dxa"/>
        <w:bottom w:w="100" w:type="dxa"/>
        <w:right w:w="70" w:type="dxa"/>
      </w:tblCellMar>
    </w:tblPr>
  </w:style>
  <w:style w:type="table" w:customStyle="1" w:styleId="ad">
    <w:basedOn w:val="TableNormal6"/>
    <w:tblPr>
      <w:tblStyleRowBandSize w:val="1"/>
      <w:tblStyleColBandSize w:val="1"/>
      <w:tblCellMar>
        <w:top w:w="100" w:type="dxa"/>
        <w:left w:w="100" w:type="dxa"/>
        <w:bottom w:w="100" w:type="dxa"/>
        <w:right w:w="100" w:type="dxa"/>
      </w:tblCellMar>
    </w:tblPr>
  </w:style>
  <w:style w:type="table" w:customStyle="1" w:styleId="ae">
    <w:basedOn w:val="TableNormal6"/>
    <w:tblPr>
      <w:tblStyleRowBandSize w:val="1"/>
      <w:tblStyleColBandSize w:val="1"/>
      <w:tblCellMar>
        <w:top w:w="100" w:type="dxa"/>
        <w:left w:w="100" w:type="dxa"/>
        <w:bottom w:w="100" w:type="dxa"/>
        <w:right w:w="100" w:type="dxa"/>
      </w:tblCellMar>
    </w:tblPr>
  </w:style>
  <w:style w:type="table" w:customStyle="1" w:styleId="af">
    <w:basedOn w:val="TableNormal6"/>
    <w:tblPr>
      <w:tblStyleRowBandSize w:val="1"/>
      <w:tblStyleColBandSize w:val="1"/>
      <w:tblCellMar>
        <w:top w:w="100" w:type="dxa"/>
        <w:left w:w="100" w:type="dxa"/>
        <w:bottom w:w="100" w:type="dxa"/>
        <w:right w:w="100" w:type="dxa"/>
      </w:tblCellMar>
    </w:tblPr>
  </w:style>
  <w:style w:type="table" w:customStyle="1" w:styleId="af0">
    <w:basedOn w:val="TableNormal6"/>
    <w:tblPr>
      <w:tblStyleRowBandSize w:val="1"/>
      <w:tblStyleColBandSize w:val="1"/>
      <w:tblCellMar>
        <w:top w:w="100" w:type="dxa"/>
        <w:left w:w="100" w:type="dxa"/>
        <w:bottom w:w="100" w:type="dxa"/>
        <w:right w:w="100" w:type="dxa"/>
      </w:tblCellMar>
    </w:tblPr>
  </w:style>
  <w:style w:type="table" w:customStyle="1" w:styleId="af1">
    <w:basedOn w:val="TableNormal6"/>
    <w:tblPr>
      <w:tblStyleRowBandSize w:val="1"/>
      <w:tblStyleColBandSize w:val="1"/>
      <w:tblCellMar>
        <w:top w:w="100" w:type="dxa"/>
        <w:left w:w="70" w:type="dxa"/>
        <w:bottom w:w="100" w:type="dxa"/>
        <w:right w:w="70" w:type="dxa"/>
      </w:tblCellMar>
    </w:tblPr>
  </w:style>
  <w:style w:type="table" w:customStyle="1" w:styleId="af2">
    <w:basedOn w:val="TableNormal6"/>
    <w:tblPr>
      <w:tblStyleRowBandSize w:val="1"/>
      <w:tblStyleColBandSize w:val="1"/>
      <w:tblCellMar>
        <w:top w:w="100" w:type="dxa"/>
        <w:left w:w="70" w:type="dxa"/>
        <w:bottom w:w="100" w:type="dxa"/>
        <w:right w:w="70" w:type="dxa"/>
      </w:tblCellMar>
    </w:tblPr>
  </w:style>
  <w:style w:type="table" w:customStyle="1" w:styleId="af3">
    <w:basedOn w:val="TableNormal6"/>
    <w:tblPr>
      <w:tblStyleRowBandSize w:val="1"/>
      <w:tblStyleColBandSize w:val="1"/>
      <w:tblCellMar>
        <w:top w:w="100" w:type="dxa"/>
        <w:left w:w="100" w:type="dxa"/>
        <w:bottom w:w="100" w:type="dxa"/>
        <w:right w:w="100" w:type="dxa"/>
      </w:tblCellMar>
    </w:tblPr>
  </w:style>
  <w:style w:type="table" w:customStyle="1" w:styleId="af4">
    <w:basedOn w:val="TableNormal6"/>
    <w:tblPr>
      <w:tblStyleRowBandSize w:val="1"/>
      <w:tblStyleColBandSize w:val="1"/>
      <w:tblCellMar>
        <w:top w:w="100" w:type="dxa"/>
        <w:left w:w="100" w:type="dxa"/>
        <w:bottom w:w="100" w:type="dxa"/>
        <w:right w:w="100" w:type="dxa"/>
      </w:tblCellMar>
    </w:tblPr>
  </w:style>
  <w:style w:type="table" w:customStyle="1" w:styleId="af5">
    <w:basedOn w:val="TableNormal6"/>
    <w:tblPr>
      <w:tblStyleRowBandSize w:val="1"/>
      <w:tblStyleColBandSize w:val="1"/>
      <w:tblCellMar>
        <w:top w:w="100" w:type="dxa"/>
        <w:left w:w="100" w:type="dxa"/>
        <w:bottom w:w="100" w:type="dxa"/>
        <w:right w:w="100" w:type="dxa"/>
      </w:tblCellMar>
    </w:tblPr>
  </w:style>
  <w:style w:type="table" w:customStyle="1" w:styleId="af6">
    <w:basedOn w:val="TableNormal6"/>
    <w:tblPr>
      <w:tblStyleRowBandSize w:val="1"/>
      <w:tblStyleColBandSize w:val="1"/>
      <w:tblCellMar>
        <w:top w:w="100" w:type="dxa"/>
        <w:left w:w="100" w:type="dxa"/>
        <w:bottom w:w="100" w:type="dxa"/>
        <w:right w:w="100" w:type="dxa"/>
      </w:tblCellMar>
    </w:tblPr>
  </w:style>
  <w:style w:type="table" w:customStyle="1" w:styleId="af7">
    <w:basedOn w:val="TableNormal6"/>
    <w:tblPr>
      <w:tblStyleRowBandSize w:val="1"/>
      <w:tblStyleColBandSize w:val="1"/>
      <w:tblCellMar>
        <w:top w:w="100" w:type="dxa"/>
        <w:left w:w="100" w:type="dxa"/>
        <w:bottom w:w="100" w:type="dxa"/>
        <w:right w:w="100" w:type="dxa"/>
      </w:tblCellMar>
    </w:tblPr>
  </w:style>
  <w:style w:type="table" w:customStyle="1" w:styleId="af8">
    <w:basedOn w:val="TableNormal6"/>
    <w:tblPr>
      <w:tblStyleRowBandSize w:val="1"/>
      <w:tblStyleColBandSize w:val="1"/>
      <w:tblCellMar>
        <w:top w:w="100" w:type="dxa"/>
        <w:left w:w="70" w:type="dxa"/>
        <w:bottom w:w="100" w:type="dxa"/>
        <w:right w:w="70" w:type="dxa"/>
      </w:tblCellMar>
    </w:tblPr>
  </w:style>
  <w:style w:type="table" w:customStyle="1" w:styleId="af9">
    <w:basedOn w:val="TableNormal6"/>
    <w:tblPr>
      <w:tblStyleRowBandSize w:val="1"/>
      <w:tblStyleColBandSize w:val="1"/>
      <w:tblCellMar>
        <w:top w:w="100" w:type="dxa"/>
        <w:left w:w="70" w:type="dxa"/>
        <w:bottom w:w="100" w:type="dxa"/>
        <w:right w:w="70" w:type="dxa"/>
      </w:tblCellMar>
    </w:tblPr>
  </w:style>
  <w:style w:type="table" w:customStyle="1" w:styleId="afa">
    <w:basedOn w:val="TableNormal6"/>
    <w:tblPr>
      <w:tblStyleRowBandSize w:val="1"/>
      <w:tblStyleColBandSize w:val="1"/>
      <w:tblCellMar>
        <w:top w:w="100" w:type="dxa"/>
        <w:left w:w="70" w:type="dxa"/>
        <w:bottom w:w="100" w:type="dxa"/>
        <w:right w:w="70" w:type="dxa"/>
      </w:tblCellMar>
    </w:tblPr>
  </w:style>
  <w:style w:type="table" w:customStyle="1" w:styleId="afb">
    <w:basedOn w:val="TableNormal6"/>
    <w:tblPr>
      <w:tblStyleRowBandSize w:val="1"/>
      <w:tblStyleColBandSize w:val="1"/>
      <w:tblCellMar>
        <w:top w:w="100" w:type="dxa"/>
        <w:left w:w="70" w:type="dxa"/>
        <w:bottom w:w="100" w:type="dxa"/>
        <w:right w:w="70" w:type="dxa"/>
      </w:tblCellMar>
    </w:tblPr>
  </w:style>
  <w:style w:type="table" w:customStyle="1" w:styleId="afc">
    <w:basedOn w:val="TableNormal6"/>
    <w:tblPr>
      <w:tblStyleRowBandSize w:val="1"/>
      <w:tblStyleColBandSize w:val="1"/>
      <w:tblCellMar>
        <w:top w:w="100" w:type="dxa"/>
        <w:left w:w="70" w:type="dxa"/>
        <w:bottom w:w="100" w:type="dxa"/>
        <w:right w:w="70" w:type="dxa"/>
      </w:tblCellMar>
    </w:tblPr>
  </w:style>
  <w:style w:type="table" w:customStyle="1" w:styleId="afd">
    <w:basedOn w:val="TableNormal6"/>
    <w:tblPr>
      <w:tblStyleRowBandSize w:val="1"/>
      <w:tblStyleColBandSize w:val="1"/>
      <w:tblCellMar>
        <w:top w:w="100" w:type="dxa"/>
        <w:left w:w="70" w:type="dxa"/>
        <w:bottom w:w="100" w:type="dxa"/>
        <w:right w:w="70" w:type="dxa"/>
      </w:tblCellMar>
    </w:tblPr>
  </w:style>
  <w:style w:type="table" w:customStyle="1" w:styleId="afe">
    <w:basedOn w:val="TableNormal6"/>
    <w:tblPr>
      <w:tblStyleRowBandSize w:val="1"/>
      <w:tblStyleColBandSize w:val="1"/>
      <w:tblCellMar>
        <w:top w:w="100" w:type="dxa"/>
        <w:left w:w="70" w:type="dxa"/>
        <w:bottom w:w="100" w:type="dxa"/>
        <w:right w:w="70" w:type="dxa"/>
      </w:tblCellMar>
    </w:tblPr>
  </w:style>
  <w:style w:type="table" w:customStyle="1" w:styleId="aff">
    <w:basedOn w:val="TableNormal0"/>
    <w:tblPr>
      <w:tblStyleRowBandSize w:val="1"/>
      <w:tblStyleColBandSize w:val="1"/>
      <w:tblCellMar>
        <w:top w:w="100" w:type="dxa"/>
        <w:left w:w="70" w:type="dxa"/>
        <w:bottom w:w="100" w:type="dxa"/>
        <w:right w:w="70" w:type="dxa"/>
      </w:tblCellMar>
    </w:tblPr>
  </w:style>
  <w:style w:type="table" w:customStyle="1" w:styleId="aff0">
    <w:basedOn w:val="TableNormal0"/>
    <w:tblPr>
      <w:tblStyleRowBandSize w:val="1"/>
      <w:tblStyleColBandSize w:val="1"/>
      <w:tblCellMar>
        <w:top w:w="100" w:type="dxa"/>
        <w:left w:w="70" w:type="dxa"/>
        <w:bottom w:w="100" w:type="dxa"/>
        <w:right w:w="70" w:type="dxa"/>
      </w:tblCellMar>
    </w:tblPr>
  </w:style>
  <w:style w:type="table" w:customStyle="1" w:styleId="aff1">
    <w:basedOn w:val="TableNormal0"/>
    <w:tblPr>
      <w:tblStyleRowBandSize w:val="1"/>
      <w:tblStyleColBandSize w:val="1"/>
      <w:tblCellMar>
        <w:top w:w="100" w:type="dxa"/>
        <w:left w:w="70" w:type="dxa"/>
        <w:bottom w:w="100" w:type="dxa"/>
        <w:right w:w="70" w:type="dxa"/>
      </w:tblCellMar>
    </w:tblPr>
  </w:style>
  <w:style w:type="table" w:customStyle="1" w:styleId="aff2">
    <w:basedOn w:val="TableNormal0"/>
    <w:tblPr>
      <w:tblStyleRowBandSize w:val="1"/>
      <w:tblStyleColBandSize w:val="1"/>
      <w:tblCellMar>
        <w:top w:w="100" w:type="dxa"/>
        <w:left w:w="70" w:type="dxa"/>
        <w:bottom w:w="100" w:type="dxa"/>
        <w:right w:w="70" w:type="dxa"/>
      </w:tblCellMar>
    </w:tblPr>
  </w:style>
  <w:style w:type="table" w:customStyle="1" w:styleId="aff3">
    <w:basedOn w:val="TableNormal0"/>
    <w:tblPr>
      <w:tblStyleRowBandSize w:val="1"/>
      <w:tblStyleColBandSize w:val="1"/>
      <w:tblCellMar>
        <w:top w:w="100" w:type="dxa"/>
        <w:left w:w="70" w:type="dxa"/>
        <w:bottom w:w="100" w:type="dxa"/>
        <w:right w:w="70" w:type="dxa"/>
      </w:tblCellMar>
    </w:tblPr>
  </w:style>
  <w:style w:type="table" w:customStyle="1" w:styleId="aff4">
    <w:basedOn w:val="TableNormal0"/>
    <w:tblPr>
      <w:tblStyleRowBandSize w:val="1"/>
      <w:tblStyleColBandSize w:val="1"/>
      <w:tblCellMar>
        <w:top w:w="100" w:type="dxa"/>
        <w:left w:w="70" w:type="dxa"/>
        <w:bottom w:w="100" w:type="dxa"/>
        <w:right w:w="70" w:type="dxa"/>
      </w:tblCellMar>
    </w:tblPr>
  </w:style>
  <w:style w:type="paragraph" w:styleId="Textoindependiente">
    <w:name w:val="Body Text"/>
    <w:basedOn w:val="Normal"/>
    <w:link w:val="TextoindependienteCar"/>
    <w:uiPriority w:val="1"/>
    <w:qFormat/>
    <w:rsid w:val="00DE0C0D"/>
    <w:pPr>
      <w:widowControl w:val="0"/>
      <w:autoSpaceDE w:val="0"/>
      <w:autoSpaceDN w:val="0"/>
    </w:pPr>
    <w:rPr>
      <w:rFonts w:ascii="Times New Roman" w:eastAsia="Times New Roman" w:hAnsi="Times New Roman" w:cs="Times New Roman"/>
      <w:sz w:val="22"/>
      <w:szCs w:val="22"/>
      <w:lang w:eastAsia="en-US"/>
    </w:rPr>
  </w:style>
  <w:style w:type="character" w:customStyle="1" w:styleId="TextoindependienteCar">
    <w:name w:val="Texto independiente Car"/>
    <w:basedOn w:val="Fuentedeprrafopredeter"/>
    <w:link w:val="Textoindependiente"/>
    <w:uiPriority w:val="1"/>
    <w:rsid w:val="00DE0C0D"/>
    <w:rPr>
      <w:rFonts w:ascii="Times New Roman" w:eastAsia="Times New Roman" w:hAnsi="Times New Roman" w:cs="Times New Roman"/>
      <w:sz w:val="22"/>
      <w:szCs w:val="22"/>
      <w:lang w:eastAsia="en-US"/>
    </w:rPr>
  </w:style>
  <w:style w:type="paragraph" w:styleId="Prrafodelista">
    <w:name w:val="List Paragraph"/>
    <w:aliases w:val="Ha,Resume Title,LISTA,List1,Bullet List,FooterText,numbered,List Paragraph1,Paragraphe de liste1,lp1,HOJA,Colorful List Accent 1,Colorful List - Accent 11,titulo 3,Colorful List - Accent 111,Bullets,Párrafo de lista2"/>
    <w:basedOn w:val="Normal"/>
    <w:link w:val="PrrafodelistaCar"/>
    <w:uiPriority w:val="34"/>
    <w:qFormat/>
    <w:rsid w:val="00DE0C0D"/>
    <w:pPr>
      <w:widowControl w:val="0"/>
      <w:autoSpaceDE w:val="0"/>
      <w:autoSpaceDN w:val="0"/>
      <w:ind w:left="978" w:hanging="361"/>
      <w:jc w:val="both"/>
    </w:pPr>
    <w:rPr>
      <w:rFonts w:ascii="Times New Roman" w:eastAsia="Times New Roman" w:hAnsi="Times New Roman" w:cs="Times New Roman"/>
      <w:sz w:val="22"/>
      <w:szCs w:val="22"/>
      <w:lang w:eastAsia="en-US"/>
    </w:r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basedOn w:val="Fuentedeprrafopredeter"/>
    <w:link w:val="Prrafodelista"/>
    <w:uiPriority w:val="34"/>
    <w:qFormat/>
    <w:locked/>
    <w:rsid w:val="004A29ED"/>
    <w:rPr>
      <w:rFonts w:ascii="Times New Roman" w:eastAsia="Times New Roman" w:hAnsi="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8whUjh0MVDqEYABzlKG2WvzYZg==">CgMxLjAaHwoBMBIaChgICVIUChJ0YWJsZS5na3Q5N2ZnNmY2ZmkilgIKC0FBQUJhTlJGTGxJEuABCgtBQUFCYU5SRkxsSRILQUFBQmFOUkZMbEkaDQoJdGV4dC9odG1sEgAiDgoKdGV4dC9wbGFpbhIAKhsiFTEwOTQ5NDI0MTQwOTM3NzY2Njk4MygAOAAwydbLtrsyOMnWy7a7MkpACiRhcHBsaWNhdGlvbi92bmQuZ29vZ2xlLWFwcHMuZG9jcy5tZHMaGMLX2uQBEhoQCgwKBmltYWdlbhABGAAQAVoMM3RpYnlqd3FiZ3k5cgIgAHgAggEUc3VnZ2VzdC5sZmZuaXMzY2lxaGyaAQYIABAAGACwAQC4AQAYydbLtrsyIMnWy7a7MjAAQhRzdWdnZXN0LmxmZm5pczNjaXFobDIOaC43MWowZjRkY2tlOHYyDmguajYxazM4Yjh3M2tuMg5oLmZwcGU5eTJlM3lqaDIOaC5pNjBrZjhienV5MGIyDmgubGhrMWlhNzd4amw0Mg5oLmt5aDA5cGU5emJvNzIOaC41eHQ4bzI5ZWRlZDMyDmgueTEwcTNhNWg2Mms4Mg5oLmNiNGZoM2I3MWozbzIOaC45NzNtNjN3YnhibnMyDmgubWRhZWQ3bGJpM3F5Mg5oLm14YjdjOW9nNW1sbDIJaC4zMGowemxsMgloLjN6bnlzaDcyCWguMmV0OTJwMDIOaC55azRkMW9scTNwZTgyDmguNnZhMWVmOTV6dnRsMg5oLmtqaGI2ZGplanY0ZTgAajYKFHN1Z2dlc3QuMzZlMTN3a2Q3cDRvEh5NQVLDjUEgQUxFSkFORFJBIFZFTkVHQVMgQVZJTEFqNgoUc3VnZ2VzdC45aXVkbmJ5N2d2ajISHk1BUsONQSBBTEVKQU5EUkEgVkVORUdBUyBBVklMQWo2ChRzdWdnZXN0LnlobW1ybGVrd3U0chIeTUFSw41BIEFMRUpBTkRSQSBWRU5FR0FTIEFWSUxBajYKFHN1Z2dlc3QuamlhbmsxcHl1enRpEh5NQVLDjUEgQUxFSkFORFJBIFZFTkVHQVMgQVZJTEFqNgoUc3VnZ2VzdC5pZnYxZTlnZ2w1ZGISHk1BUsONQSBBTEVKQU5EUkEgVkVORUdBUyBBVklMQWo2ChRzdWdnZXN0LnRqOGZrbW02MXRleBIeTUFSw41BIEFMRUpBTkRSQSBWRU5FR0FTIEFWSUxBajYKFHN1Z2dlc3Quc3NwZnJnOTR2bG4zEh5NQVLDjUEgQUxFSkFORFJBIFZFTkVHQVMgQVZJTEFqNQoTc3VnZ2VzdC5zejhidnhiMDliYRIeTUFSw41BIEFMRUpBTkRSQSBWRU5FR0FTIEFWSUxBajUKE3N1Z2dlc3QuYzNsc2U3MXlhaGkSHk1BUsONQSBBTEVKQU5EUkEgVkVORUdBUyBBVklMQWo2ChRzdWdnZXN0LmJiZHBoMjNiZ2FzbhIeTUFSw41BIEFMRUpBTkRSQSBWRU5FR0FTIEFWSUxBajYKFHN1Z2dlc3QuNHdyOTB3NnN2c2loEh5NQVLDjUEgQUxFSkFORFJBIFZFTkVHQVMgQVZJTEFqNgoUc3VnZ2VzdC52bmowY3B1enk0bWYSHk1BUsONQSBBTEVKQU5EUkEgVkVORUdBUyBBVklMQWo2ChRzdWdnZXN0LmR0MWZrcm9rYWJvaRIeTUFSw41BIEFMRUpBTkRSQSBWRU5FR0FTIEFWSUxBajYKFHN1Z2dlc3QuMXk2OWxscGx1cG5qEh5NQVLDjUEgQUxFSkFORFJBIFZFTkVHQVMgQVZJTEFqNgoUc3VnZ2VzdC4xZjNwNzh3b21lZjgSHk1BUsONQSBBTEVKQU5EUkEgVkVORUdBUyBBVklMQWo2ChRzdWdnZXN0LnJqMHE2MXBqcGNjehIeTUFSw41BIEFMRUpBTkRSQSBWRU5FR0FTIEFWSUxBajYKFHN1Z2dlc3QubjJ4Z24zYzI1MTN5Eh5NQVLDjUEgQUxFSkFORFJBIFZFTkVHQVMgQVZJTEFqNgoUc3VnZ2VzdC5jYmI3dXoycGxmdDgSHk1BUsONQSBBTEVKQU5EUkEgVkVORUdBUyBBVklMQWo2ChRzdWdnZXN0LnRpM2U5eGFwY2ZoYhIeTUFSw41BIEFMRUpBTkRSQSBWRU5FR0FTIEFWSUxBajYKFHN1Z2dlc3QuNzF0anlqZ2sxaTdqEh5NQVLDjUEgQUxFSkFORFJBIFZFTkVHQVMgQVZJTEFqNgoUc3VnZ2VzdC5rb2l4eXVtdGUwNWcSHk1BUsONQSBBTEVKQU5EUkEgVkVORUdBUyBBVklMQWo1ChNzdWdnZXN0Lm0wbWVuMXN2dmF5Eh5NQVLDjUEgQUxFSkFORFJBIFZFTkVHQVMgQVZJTEFqNgoUc3VnZ2VzdC53ajh5OWNib2tveGwSHk1BUsONQSBBTEVKQU5EUkEgVkVORUdBUyBBVklMQWo1ChNzdWdnZXN0LnFwNWwzY3pma2pjEh5NQVLDjUEgQUxFSkFORFJBIFZFTkVHQVMgQVZJTEFqNgoUc3VnZ2VzdC40ZGlhNXVrNnJieGkSHk1BUsONQSBBTEVKQU5EUkEgVkVORUdBUyBBVklMQWo2ChRzdWdnZXN0LmRjd2RhbXZxMng5ZRIeTUFSw41BIEFMRUpBTkRSQSBWRU5FR0FTIEFWSUxBajYKFHN1Z2dlc3QudDM4YjYycGNhcnFrEh5NQVLDjUEgQUxFSkFORFJBIFZFTkVHQVMgQVZJTEFqNgoUc3VnZ2VzdC5vbWZqanQ4dnl4NGsSHk1BUsONQSBBTEVKQU5EUkEgVkVORUdBUyBBVklMQWo2ChRzdWdnZXN0LmJyZzVzYjE3eGMwdxIeTUFSw41BIEFMRUpBTkRSQSBWRU5FR0FTIEFWSUxBajYKFHN1Z2dlc3QuNTh2eWk1a2RkNnMxEh5NQVLDjUEgQUxFSkFORFJBIFZFTkVHQVMgQVZJTEFqNgoUc3VnZ2VzdC44MTg2dnN1dG8wZnISHk1BUsONQSBBTEVKQU5EUkEgVkVORUdBUyBBVklMQWo2ChRzdWdnZXN0Lno1cjBpc202cDh0eBIeTUFSw41BIEFMRUpBTkRSQSBWRU5FR0FTIEFWSUxBajYKFHN1Z2dlc3QubGZmbmlzM2NpcWhsEh5NQVLDjUEgQUxFSkFORFJBIFZFTkVHQVMgQVZJTEFqNgoUc3VnZ2VzdC5kbGM5dnZ4bjNuZmwSHk1BUsONQSBBTEVKQU5EUkEgVkVORUdBUyBBVklMQWo2ChRzdWdnZXN0LnppZG54ZGtod2VqZxIeTUFSw41BIEFMRUpBTkRSQSBWRU5FR0FTIEFWSUxBajYKFHN1Z2dlc3QuODVkcHVxcWJnc3gyEh5NQVLDjUEgQUxFSkFORFJBIFZFTkVHQVMgQVZJTEFyITFpVmg0NzVRbTY5ZnQ5cWdwdFFmeWl1bDlOdVF0eGdO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494</Words>
  <Characters>2721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ALEXANDER MARTINEZ LOPEZ</dc:creator>
  <cp:lastModifiedBy>MORRISON TARQUINO DAZA</cp:lastModifiedBy>
  <cp:revision>2</cp:revision>
  <dcterms:created xsi:type="dcterms:W3CDTF">2025-06-05T19:45:00Z</dcterms:created>
  <dcterms:modified xsi:type="dcterms:W3CDTF">2025-06-05T19:45:00Z</dcterms:modified>
</cp:coreProperties>
</file>